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F11" w:rsidRDefault="00663F11" w:rsidP="00663F11">
      <w:pPr>
        <w:jc w:val="center"/>
        <w:rPr>
          <w:b/>
          <w:bCs/>
          <w:color w:val="auto"/>
          <w:spacing w:val="0"/>
        </w:rPr>
      </w:pPr>
      <w:r w:rsidRPr="00A16393">
        <w:rPr>
          <w:b/>
          <w:bCs/>
          <w:color w:val="auto"/>
          <w:spacing w:val="0"/>
        </w:rPr>
        <w:t>Тарифы на Брокерские услуги и Услуги номинального держания</w:t>
      </w:r>
      <w:r w:rsidRPr="00A16393">
        <w:rPr>
          <w:b/>
          <w:bCs/>
          <w:color w:val="auto"/>
          <w:spacing w:val="0"/>
        </w:rPr>
        <w:br/>
        <w:t>для клиентов АО «Евразийский Капитал» (юридических лиц)</w:t>
      </w:r>
    </w:p>
    <w:p w:rsidR="00663F11" w:rsidRPr="00A16393" w:rsidRDefault="006E5B9D" w:rsidP="00663F11">
      <w:pPr>
        <w:jc w:val="center"/>
        <w:rPr>
          <w:b/>
          <w:bCs/>
          <w:color w:val="auto"/>
          <w:spacing w:val="0"/>
        </w:rPr>
      </w:pPr>
      <w:r w:rsidRPr="006E5B9D">
        <w:rPr>
          <w:b/>
          <w:bCs/>
          <w:color w:val="auto"/>
          <w:spacing w:val="0"/>
        </w:rPr>
        <w:t>Тарифы Компании утверждены Протоколом Правления № 25 от 25.12.2018 года.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42"/>
      </w:tblGrid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/>
                <w:bCs/>
                <w:color w:val="auto"/>
                <w:spacing w:val="0"/>
              </w:rPr>
            </w:pPr>
            <w:r w:rsidRPr="00A16393">
              <w:rPr>
                <w:b/>
                <w:bCs/>
                <w:color w:val="auto"/>
                <w:spacing w:val="0"/>
              </w:rPr>
              <w:t>Вид услуг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/>
                <w:bCs/>
                <w:color w:val="auto"/>
                <w:spacing w:val="0"/>
              </w:rPr>
            </w:pPr>
            <w:r w:rsidRPr="00A16393">
              <w:rPr>
                <w:b/>
                <w:bCs/>
                <w:color w:val="auto"/>
                <w:spacing w:val="0"/>
              </w:rPr>
              <w:t>Тарифы</w:t>
            </w:r>
          </w:p>
        </w:tc>
      </w:tr>
      <w:tr w:rsidR="00663F11" w:rsidRPr="00A16393" w:rsidTr="00310E1C">
        <w:trPr>
          <w:jc w:val="center"/>
        </w:trPr>
        <w:tc>
          <w:tcPr>
            <w:tcW w:w="9828" w:type="dxa"/>
            <w:gridSpan w:val="2"/>
            <w:vAlign w:val="center"/>
          </w:tcPr>
          <w:p w:rsidR="00663F11" w:rsidRPr="00A16393" w:rsidRDefault="00663F11" w:rsidP="00310E1C">
            <w:pPr>
              <w:jc w:val="both"/>
              <w:rPr>
                <w:b/>
                <w:bCs/>
                <w:color w:val="auto"/>
                <w:spacing w:val="0"/>
              </w:rPr>
            </w:pPr>
            <w:r w:rsidRPr="00A16393">
              <w:rPr>
                <w:b/>
                <w:bCs/>
                <w:color w:val="auto"/>
                <w:spacing w:val="0"/>
              </w:rPr>
              <w:t>1. Услуги брокера:</w:t>
            </w:r>
          </w:p>
        </w:tc>
      </w:tr>
      <w:tr w:rsidR="00663F11" w:rsidRPr="00A16393" w:rsidTr="00310E1C">
        <w:trPr>
          <w:jc w:val="center"/>
        </w:trPr>
        <w:tc>
          <w:tcPr>
            <w:tcW w:w="9828" w:type="dxa"/>
            <w:gridSpan w:val="2"/>
          </w:tcPr>
          <w:p w:rsidR="00663F11" w:rsidRPr="00A16393" w:rsidRDefault="00663F11" w:rsidP="00310E1C">
            <w:pPr>
              <w:jc w:val="both"/>
              <w:rPr>
                <w:b/>
                <w:bCs/>
                <w:color w:val="auto"/>
                <w:spacing w:val="0"/>
              </w:rPr>
            </w:pPr>
            <w:r w:rsidRPr="00A16393">
              <w:rPr>
                <w:b/>
                <w:bCs/>
                <w:color w:val="auto"/>
                <w:spacing w:val="0"/>
              </w:rPr>
              <w:t>1.1. покупка/продажа ценных бумаг на Казахстанской фондовой бирже, бирже МФЦА (</w:t>
            </w:r>
            <w:proofErr w:type="spellStart"/>
            <w:r w:rsidRPr="00A16393">
              <w:rPr>
                <w:b/>
                <w:bCs/>
                <w:color w:val="auto"/>
                <w:spacing w:val="0"/>
              </w:rPr>
              <w:t>Astana</w:t>
            </w:r>
            <w:proofErr w:type="spellEnd"/>
            <w:r w:rsidRPr="00A16393">
              <w:rPr>
                <w:b/>
                <w:bCs/>
                <w:color w:val="auto"/>
                <w:spacing w:val="0"/>
              </w:rPr>
              <w:t xml:space="preserve"> International Exchange, AIX) и неорганизованном рынке </w:t>
            </w:r>
            <w:r>
              <w:rPr>
                <w:b/>
                <w:bCs/>
                <w:color w:val="auto"/>
                <w:spacing w:val="0"/>
              </w:rPr>
              <w:t xml:space="preserve">ценных бумаг </w:t>
            </w:r>
            <w:r w:rsidRPr="00A16393">
              <w:rPr>
                <w:b/>
                <w:bCs/>
                <w:color w:val="auto"/>
                <w:spacing w:val="0"/>
              </w:rPr>
              <w:t>Республики Казахстан: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  <w:vMerge w:val="restart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</w:p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1.1.1. Покупка / продажа КЦБ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 xml:space="preserve">0,05% от суммы сделки, но не менее 1МРП – на организованном рынке 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  <w:vMerge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0,1% от суммы сделки, но не менее 3 МРП – на неорганизованном рынке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  <w:vMerge w:val="restart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1.1.2. Покупка /продажа ГЦБ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 xml:space="preserve">0,01% от суммы сделки, но не менее 1 МРП – на организованном рынке 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  <w:vMerge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0,1% от суммы сделки, но не менее 3 МРП – на неорганизованном рынке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1.1.3. Операции «РЕПО»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0,5% (от разницы между суммой открытия и суммой закрытия РЕПО), комиссия взимается при закрытии операции РЕПО, но не менее 2 МРП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1.1.4. Аннулирование операции «РЕПО»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0,05% от объема открытия, но не менее 1 МРП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1.1.5. Перевод обязательств по операции «РЕПО»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0,05% от объема открытия, но не менее 1 МРП</w:t>
            </w:r>
          </w:p>
        </w:tc>
      </w:tr>
      <w:tr w:rsidR="00663F11" w:rsidRPr="00A16393" w:rsidTr="00310E1C">
        <w:trPr>
          <w:jc w:val="center"/>
        </w:trPr>
        <w:tc>
          <w:tcPr>
            <w:tcW w:w="9828" w:type="dxa"/>
            <w:gridSpan w:val="2"/>
          </w:tcPr>
          <w:p w:rsidR="00663F11" w:rsidRPr="006B6451" w:rsidRDefault="00663F11" w:rsidP="00310E1C">
            <w:pPr>
              <w:jc w:val="both"/>
              <w:rPr>
                <w:b/>
                <w:bCs/>
                <w:color w:val="auto"/>
                <w:spacing w:val="0"/>
              </w:rPr>
            </w:pPr>
            <w:r w:rsidRPr="006B6451">
              <w:rPr>
                <w:b/>
                <w:bCs/>
                <w:color w:val="auto"/>
                <w:spacing w:val="0"/>
              </w:rPr>
              <w:t xml:space="preserve">1.2. покупка/продажа на Международном рынке: 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1.2.1. Покупка / продажа ценных бумаг и производных финансовых инструментов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0,3% от суммы сделки, но не менее 1 МРП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1.2.2. Конвертация депозитарных расписок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5 тенге за одну депозитарную расписку, но не менее 3 МРП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1.2.3. Дематериализация финансовых инструментов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5 тенге за один финансовый инструмент, но не менее 15 МРП</w:t>
            </w:r>
          </w:p>
        </w:tc>
      </w:tr>
      <w:tr w:rsidR="00663F11" w:rsidRPr="00A16393" w:rsidTr="00310E1C">
        <w:trPr>
          <w:jc w:val="center"/>
        </w:trPr>
        <w:tc>
          <w:tcPr>
            <w:tcW w:w="9828" w:type="dxa"/>
            <w:gridSpan w:val="2"/>
            <w:vAlign w:val="center"/>
          </w:tcPr>
          <w:p w:rsidR="00663F11" w:rsidRPr="006B6451" w:rsidRDefault="00663F11" w:rsidP="00310E1C">
            <w:pPr>
              <w:jc w:val="both"/>
              <w:rPr>
                <w:b/>
                <w:bCs/>
                <w:color w:val="auto"/>
                <w:spacing w:val="0"/>
              </w:rPr>
            </w:pPr>
            <w:r w:rsidRPr="006B6451">
              <w:rPr>
                <w:b/>
                <w:bCs/>
                <w:color w:val="auto"/>
                <w:spacing w:val="0"/>
              </w:rPr>
              <w:t>2. Услуги номинального держания:</w:t>
            </w:r>
          </w:p>
        </w:tc>
      </w:tr>
      <w:tr w:rsidR="00663F11" w:rsidRPr="00A16393" w:rsidTr="00310E1C">
        <w:trPr>
          <w:trHeight w:val="314"/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2.1. Открытие/изменение реквизитов счета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Бесплатно</w:t>
            </w:r>
          </w:p>
        </w:tc>
      </w:tr>
      <w:tr w:rsidR="00663F11" w:rsidRPr="00A16393" w:rsidTr="00310E1C">
        <w:trPr>
          <w:trHeight w:val="314"/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 xml:space="preserve">       Закрытие лицевого счета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По приказу Клиента – бесплатно;</w:t>
            </w:r>
          </w:p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Без приказа и при отсутствии на лицевом счете Клиента ценных бумаг (прав требования по обязательствам эмитента по эмиссионным ценным бумагам) в течение последних двенадцати месяцев – в размере остатка денег на лицевом счете Клиента, но не более 5 МРП.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 xml:space="preserve">2.2. Учет и хранение ЦБ в номинальном держании   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 xml:space="preserve">5 МРП в месяц (при наличии остатков ФИ и/или движения ФИ по лицевому счету) </w:t>
            </w:r>
          </w:p>
        </w:tc>
      </w:tr>
      <w:tr w:rsidR="00663F11" w:rsidRPr="00A16393" w:rsidTr="00310E1C">
        <w:trPr>
          <w:trHeight w:val="539"/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2.3. Принятие ценных бумаг клиента в номинальное держание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 xml:space="preserve">Бесплатно </w:t>
            </w:r>
          </w:p>
        </w:tc>
      </w:tr>
      <w:tr w:rsidR="00663F11" w:rsidRPr="00A16393" w:rsidTr="00310E1C">
        <w:trPr>
          <w:trHeight w:val="539"/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2.4. Вывод из номинального держания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 xml:space="preserve">1 МРП за транзакцию 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2.5. Перевод ценных бумаг внутри системы номинального держания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Бесплатно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2.6. Отмена приказа в связи с неверно указанными реквизитами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1 МРП за транзакцию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2.7. Регистрация обременения/снятия обременения ценных бумаг обязательствами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1 МРП за транзакцию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2.8. Блокирование ценных бумаг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1 МРП за транзакцию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2.9. Получение дивидендов/купонных выплат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Бесплатно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2.10 Погашение ценных бумаг, находящихся в номинальном держании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Бесплатно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 xml:space="preserve">2.11 Предоставление выписки с лицевого счета по запросу клиента 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Бесплатно – один раз в месяц,</w:t>
            </w:r>
          </w:p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каждая последующая – 1 МРП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2.12 Отчет по движению денежных средств за определенный период времени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Ежемесячно, при наличии движения на лицевом счету - бесплатно, по запросу клиента – 2 МРП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2.13 Отчет по движению финансовых инструментов за определенный период времени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Ежемесячно, при наличии движения на лицевом счету - бесплатно, по запросу клиента – 2 МРП</w:t>
            </w:r>
          </w:p>
        </w:tc>
      </w:tr>
      <w:tr w:rsidR="00663F11" w:rsidRPr="00A16393" w:rsidTr="00310E1C">
        <w:trPr>
          <w:trHeight w:val="211"/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 xml:space="preserve">2.14 Прочие услуги номинального держания 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1 МРП за транзакцию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6B6451" w:rsidRDefault="00663F11" w:rsidP="00310E1C">
            <w:pPr>
              <w:jc w:val="both"/>
              <w:rPr>
                <w:b/>
                <w:bCs/>
                <w:color w:val="auto"/>
                <w:spacing w:val="0"/>
              </w:rPr>
            </w:pPr>
            <w:r w:rsidRPr="006B6451">
              <w:rPr>
                <w:b/>
                <w:bCs/>
                <w:color w:val="auto"/>
                <w:spacing w:val="0"/>
              </w:rPr>
              <w:t>3. Другие услуги: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3.1. Услуги финансового консультанта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 xml:space="preserve"> - по договоренности.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lastRenderedPageBreak/>
              <w:t>3.2. Прочие услуги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- по договоренности.</w:t>
            </w:r>
          </w:p>
        </w:tc>
      </w:tr>
      <w:tr w:rsidR="00663F11" w:rsidRPr="00A16393" w:rsidTr="00310E1C">
        <w:trPr>
          <w:jc w:val="center"/>
        </w:trPr>
        <w:tc>
          <w:tcPr>
            <w:tcW w:w="4786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 xml:space="preserve">3.3. Выезд сотрудника </w:t>
            </w:r>
          </w:p>
        </w:tc>
        <w:tc>
          <w:tcPr>
            <w:tcW w:w="5042" w:type="dxa"/>
          </w:tcPr>
          <w:p w:rsidR="00663F11" w:rsidRPr="00A16393" w:rsidRDefault="00663F11" w:rsidP="00310E1C">
            <w:pPr>
              <w:jc w:val="both"/>
              <w:rPr>
                <w:bCs/>
                <w:color w:val="auto"/>
                <w:spacing w:val="0"/>
              </w:rPr>
            </w:pPr>
            <w:r w:rsidRPr="00A16393">
              <w:rPr>
                <w:bCs/>
                <w:color w:val="auto"/>
                <w:spacing w:val="0"/>
              </w:rPr>
              <w:t>- 10 000 тенге/ один выезд.</w:t>
            </w:r>
          </w:p>
        </w:tc>
      </w:tr>
    </w:tbl>
    <w:p w:rsidR="00663F11" w:rsidRPr="00A16393" w:rsidRDefault="00663F11" w:rsidP="00663F11">
      <w:pPr>
        <w:jc w:val="both"/>
        <w:rPr>
          <w:bCs/>
          <w:color w:val="auto"/>
          <w:spacing w:val="0"/>
        </w:rPr>
      </w:pPr>
    </w:p>
    <w:p w:rsidR="00663F11" w:rsidRPr="00A16393" w:rsidRDefault="00663F11" w:rsidP="00663F11">
      <w:pPr>
        <w:jc w:val="both"/>
        <w:rPr>
          <w:bCs/>
          <w:color w:val="auto"/>
          <w:spacing w:val="0"/>
        </w:rPr>
      </w:pPr>
      <w:r w:rsidRPr="00A16393">
        <w:rPr>
          <w:bCs/>
          <w:color w:val="auto"/>
          <w:spacing w:val="0"/>
        </w:rPr>
        <w:t xml:space="preserve">В тарифы не включаются комиссионные сборы и тарифы организаций, обеспечивающих выполнение функций брокера и номинального держателя, включая: АО "Казахстанская фондовая биржа", АО "Центральный депозитарий ценных бумаг", </w:t>
      </w:r>
      <w:proofErr w:type="spellStart"/>
      <w:r w:rsidRPr="00A16393">
        <w:rPr>
          <w:bCs/>
          <w:color w:val="auto"/>
          <w:spacing w:val="0"/>
        </w:rPr>
        <w:t>кастодианов</w:t>
      </w:r>
      <w:proofErr w:type="spellEnd"/>
      <w:r w:rsidRPr="00A16393">
        <w:rPr>
          <w:bCs/>
          <w:color w:val="auto"/>
          <w:spacing w:val="0"/>
        </w:rPr>
        <w:t xml:space="preserve"> и прочих профессиональных участников рынка ценных бумаг, банков (организаций, осуществляющих отдельные виды банковских операций). Комиссионные сборы указанных организаций подлежат оплате по (пере-) выставленным счетам по факту. </w:t>
      </w:r>
    </w:p>
    <w:p w:rsidR="00663F11" w:rsidRPr="00A16393" w:rsidRDefault="00663F11" w:rsidP="00663F11">
      <w:pPr>
        <w:jc w:val="both"/>
        <w:rPr>
          <w:bCs/>
          <w:color w:val="auto"/>
          <w:spacing w:val="0"/>
        </w:rPr>
      </w:pPr>
      <w:r w:rsidRPr="00A16393">
        <w:rPr>
          <w:bCs/>
          <w:color w:val="auto"/>
          <w:spacing w:val="0"/>
        </w:rPr>
        <w:t>Брокер оставляет за собой право менять тарифы комиссионных при условии уведомления клиента за 30 дней.</w:t>
      </w:r>
    </w:p>
    <w:p w:rsidR="00663F11" w:rsidRPr="00A16393" w:rsidRDefault="00663F11" w:rsidP="00663F11">
      <w:pPr>
        <w:jc w:val="both"/>
        <w:rPr>
          <w:bCs/>
          <w:color w:val="auto"/>
          <w:spacing w:val="0"/>
        </w:rPr>
      </w:pPr>
      <w:proofErr w:type="spellStart"/>
      <w:r w:rsidRPr="00A16393">
        <w:rPr>
          <w:bCs/>
          <w:color w:val="auto"/>
          <w:spacing w:val="0"/>
        </w:rPr>
        <w:t>Cтавки</w:t>
      </w:r>
      <w:proofErr w:type="spellEnd"/>
      <w:r w:rsidRPr="00A16393">
        <w:rPr>
          <w:bCs/>
          <w:color w:val="auto"/>
          <w:spacing w:val="0"/>
        </w:rPr>
        <w:t xml:space="preserve"> и тарифы Контрагентов оплачиваются Клиентом дополнительно при исполнении сделки.</w:t>
      </w:r>
    </w:p>
    <w:p w:rsidR="00663F11" w:rsidRPr="00A16393" w:rsidRDefault="00663F11" w:rsidP="00663F11">
      <w:pPr>
        <w:jc w:val="both"/>
        <w:rPr>
          <w:bCs/>
          <w:color w:val="auto"/>
          <w:spacing w:val="0"/>
        </w:rPr>
      </w:pPr>
      <w:r w:rsidRPr="00A16393">
        <w:rPr>
          <w:bCs/>
          <w:color w:val="auto"/>
          <w:spacing w:val="0"/>
        </w:rPr>
        <w:t>Налоговые и иные сборы, пошлины (</w:t>
      </w:r>
      <w:proofErr w:type="spellStart"/>
      <w:r w:rsidRPr="00A16393">
        <w:rPr>
          <w:bCs/>
          <w:color w:val="auto"/>
          <w:spacing w:val="0"/>
        </w:rPr>
        <w:t>Stamp</w:t>
      </w:r>
      <w:proofErr w:type="spellEnd"/>
      <w:r w:rsidRPr="00A16393">
        <w:rPr>
          <w:bCs/>
          <w:color w:val="auto"/>
          <w:spacing w:val="0"/>
        </w:rPr>
        <w:t xml:space="preserve"> </w:t>
      </w:r>
      <w:proofErr w:type="spellStart"/>
      <w:r w:rsidRPr="00A16393">
        <w:rPr>
          <w:bCs/>
          <w:color w:val="auto"/>
          <w:spacing w:val="0"/>
        </w:rPr>
        <w:t>duty</w:t>
      </w:r>
      <w:proofErr w:type="spellEnd"/>
      <w:r w:rsidRPr="00A16393">
        <w:rPr>
          <w:bCs/>
          <w:color w:val="auto"/>
          <w:spacing w:val="0"/>
        </w:rPr>
        <w:t xml:space="preserve"> и др.), необходимые к оплате на территории РК и других стран оплачиваются Клиентом дополнительно при исполнении сделки.</w:t>
      </w:r>
    </w:p>
    <w:p w:rsidR="00663F11" w:rsidRPr="00A16393" w:rsidRDefault="00663F11" w:rsidP="00663F11">
      <w:pPr>
        <w:jc w:val="both"/>
        <w:rPr>
          <w:bCs/>
          <w:color w:val="auto"/>
          <w:spacing w:val="0"/>
        </w:rPr>
      </w:pPr>
      <w:r w:rsidRPr="00A16393">
        <w:rPr>
          <w:bCs/>
          <w:color w:val="auto"/>
          <w:spacing w:val="0"/>
        </w:rPr>
        <w:t>Вознаграждение по международным операциям начисляются по учетному курсу Национального банка РК (или КФБ) в тенге на фактическую дату расчетов сделки.</w:t>
      </w:r>
    </w:p>
    <w:p w:rsidR="00663F11" w:rsidRPr="00A16393" w:rsidRDefault="00663F11" w:rsidP="00663F11">
      <w:pPr>
        <w:rPr>
          <w:bCs/>
          <w:color w:val="auto"/>
          <w:spacing w:val="0"/>
        </w:rPr>
      </w:pPr>
    </w:p>
    <w:p w:rsidR="00663F11" w:rsidRDefault="00663F11"/>
    <w:p w:rsidR="008F0852" w:rsidRDefault="008F0852" w:rsidP="00663F11">
      <w:pPr>
        <w:spacing w:after="160" w:line="259" w:lineRule="auto"/>
      </w:pPr>
    </w:p>
    <w:sectPr w:rsidR="008F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2AC"/>
    <w:multiLevelType w:val="hybridMultilevel"/>
    <w:tmpl w:val="BDD29316"/>
    <w:lvl w:ilvl="0" w:tplc="33BAD32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DD06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cs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A90EE5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28AE079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</w:rPr>
    </w:lvl>
    <w:lvl w:ilvl="5" w:tplc="3724EA98">
      <w:start w:val="3"/>
      <w:numFmt w:val="decimal"/>
      <w:lvlText w:val="%6)"/>
      <w:lvlJc w:val="left"/>
      <w:pPr>
        <w:tabs>
          <w:tab w:val="num" w:pos="378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11"/>
    <w:rsid w:val="0050176C"/>
    <w:rsid w:val="005A3294"/>
    <w:rsid w:val="00663F11"/>
    <w:rsid w:val="006E5B9D"/>
    <w:rsid w:val="008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6AF6-3D53-48FF-9038-9E75C2D2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63F1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63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лномочия"/>
    <w:basedOn w:val="a0"/>
    <w:qFormat/>
    <w:rsid w:val="00663F11"/>
    <w:pPr>
      <w:numPr>
        <w:numId w:val="1"/>
      </w:numPr>
      <w:spacing w:before="10" w:after="10"/>
      <w:jc w:val="both"/>
    </w:pPr>
    <w:rPr>
      <w:color w:val="auto"/>
      <w:spacing w:val="0"/>
      <w:sz w:val="24"/>
      <w:szCs w:val="24"/>
    </w:rPr>
  </w:style>
  <w:style w:type="paragraph" w:customStyle="1" w:styleId="a4">
    <w:name w:val="РЕГЛАМЕНТ"/>
    <w:basedOn w:val="1"/>
    <w:link w:val="a5"/>
    <w:qFormat/>
    <w:rsid w:val="00663F11"/>
    <w:pPr>
      <w:keepLines w:val="0"/>
      <w:spacing w:before="60" w:after="60"/>
      <w:ind w:left="357"/>
      <w:jc w:val="right"/>
    </w:pPr>
    <w:rPr>
      <w:rFonts w:ascii="Times New Roman" w:eastAsia="Times New Roman" w:hAnsi="Times New Roman" w:cs="Times New Roman"/>
      <w:b/>
      <w:bCs/>
      <w:color w:val="000000"/>
      <w:spacing w:val="0"/>
      <w:kern w:val="32"/>
      <w:sz w:val="20"/>
      <w:lang w:val="en-US" w:eastAsia="x-none"/>
    </w:rPr>
  </w:style>
  <w:style w:type="character" w:customStyle="1" w:styleId="a5">
    <w:name w:val="РЕГЛАМЕНТ Знак"/>
    <w:link w:val="a4"/>
    <w:rsid w:val="00663F11"/>
    <w:rPr>
      <w:rFonts w:ascii="Times New Roman" w:eastAsia="Times New Roman" w:hAnsi="Times New Roman" w:cs="Times New Roman"/>
      <w:b/>
      <w:bCs/>
      <w:color w:val="000000"/>
      <w:kern w:val="32"/>
      <w:sz w:val="20"/>
      <w:szCs w:val="32"/>
      <w:lang w:val="en-US" w:eastAsia="x-none"/>
    </w:rPr>
  </w:style>
  <w:style w:type="character" w:customStyle="1" w:styleId="10">
    <w:name w:val="Заголовок 1 Знак"/>
    <w:basedOn w:val="a1"/>
    <w:link w:val="1"/>
    <w:uiPriority w:val="9"/>
    <w:rsid w:val="00663F11"/>
    <w:rPr>
      <w:rFonts w:asciiTheme="majorHAnsi" w:eastAsiaTheme="majorEastAsia" w:hAnsiTheme="majorHAnsi" w:cstheme="majorBidi"/>
      <w:color w:val="2E74B5" w:themeColor="accent1" w:themeShade="BF"/>
      <w:spacing w:val="-2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Мусабекова Айгуль</dc:creator>
  <cp:keywords/>
  <dc:description/>
  <cp:lastModifiedBy>Изенбаева Айгерим</cp:lastModifiedBy>
  <cp:revision>3</cp:revision>
  <dcterms:created xsi:type="dcterms:W3CDTF">2021-12-23T08:35:00Z</dcterms:created>
  <dcterms:modified xsi:type="dcterms:W3CDTF">2023-04-03T05:57:00Z</dcterms:modified>
</cp:coreProperties>
</file>